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3"/>
        <w:tblOverlap w:val="never"/>
        <w:tblW w:w="9791" w:type="dxa"/>
        <w:tblLayout w:type="fixed"/>
        <w:tblLook w:val="0000" w:firstRow="0" w:lastRow="0" w:firstColumn="0" w:lastColumn="0" w:noHBand="0" w:noVBand="0"/>
      </w:tblPr>
      <w:tblGrid>
        <w:gridCol w:w="4974"/>
        <w:gridCol w:w="4817"/>
      </w:tblGrid>
      <w:tr w:rsidR="00196726" w:rsidRPr="004F5DF5" w:rsidTr="00152672">
        <w:trPr>
          <w:trHeight w:val="284"/>
        </w:trPr>
        <w:tc>
          <w:tcPr>
            <w:tcW w:w="4974" w:type="dxa"/>
          </w:tcPr>
          <w:p w:rsidR="00196726" w:rsidRPr="004F5DF5" w:rsidRDefault="00196726" w:rsidP="001967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196726" w:rsidRPr="004F5DF5" w:rsidRDefault="00196726" w:rsidP="001967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A5FF3" w:rsidRPr="006633C2" w:rsidRDefault="001A5FF3" w:rsidP="001A5FF3">
      <w:pPr>
        <w:spacing w:after="0"/>
        <w:rPr>
          <w:vanish/>
        </w:rPr>
      </w:pPr>
    </w:p>
    <w:p w:rsidR="00154A82" w:rsidRPr="006633C2" w:rsidRDefault="00D87291" w:rsidP="00154A82">
      <w:pPr>
        <w:widowControl w:val="0"/>
        <w:shd w:val="clear" w:color="auto" w:fill="FFFFFF"/>
        <w:autoSpaceDE w:val="0"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633C2">
        <w:rPr>
          <w:rFonts w:ascii="Times New Roman" w:eastAsia="Times New Roman" w:hAnsi="Times New Roman"/>
          <w:sz w:val="28"/>
          <w:szCs w:val="28"/>
        </w:rPr>
        <w:t>Техническое з</w:t>
      </w:r>
      <w:r w:rsidR="00196726" w:rsidRPr="006633C2">
        <w:rPr>
          <w:rFonts w:ascii="Times New Roman" w:eastAsia="Times New Roman" w:hAnsi="Times New Roman"/>
          <w:sz w:val="28"/>
          <w:szCs w:val="28"/>
        </w:rPr>
        <w:t xml:space="preserve">адание </w:t>
      </w:r>
      <w:r w:rsidR="006633C2">
        <w:rPr>
          <w:rFonts w:ascii="Times New Roman" w:eastAsia="Times New Roman" w:hAnsi="Times New Roman"/>
          <w:sz w:val="28"/>
          <w:szCs w:val="28"/>
        </w:rPr>
        <w:t>№</w:t>
      </w:r>
      <w:r w:rsidR="009C7720">
        <w:rPr>
          <w:rFonts w:ascii="Times New Roman" w:eastAsia="Times New Roman" w:hAnsi="Times New Roman"/>
          <w:sz w:val="28"/>
          <w:szCs w:val="28"/>
        </w:rPr>
        <w:t xml:space="preserve"> </w:t>
      </w:r>
      <w:r w:rsidR="00A125E1">
        <w:rPr>
          <w:rFonts w:ascii="Times New Roman" w:eastAsia="Times New Roman" w:hAnsi="Times New Roman"/>
          <w:sz w:val="28"/>
          <w:szCs w:val="28"/>
        </w:rPr>
        <w:t>226</w:t>
      </w:r>
    </w:p>
    <w:p w:rsidR="00154A82" w:rsidRDefault="002A3A73" w:rsidP="00154A82">
      <w:pPr>
        <w:spacing w:after="60"/>
        <w:ind w:left="567" w:right="567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</w:t>
      </w:r>
      <w:r w:rsidR="006633C2">
        <w:rPr>
          <w:rFonts w:ascii="Times New Roman" w:eastAsia="Times New Roman" w:hAnsi="Times New Roman"/>
          <w:sz w:val="24"/>
          <w:szCs w:val="24"/>
        </w:rPr>
        <w:t xml:space="preserve">выполнение </w:t>
      </w:r>
      <w:r w:rsidR="006633C2" w:rsidRPr="006633C2">
        <w:rPr>
          <w:rFonts w:ascii="Times New Roman" w:hAnsi="Times New Roman"/>
          <w:sz w:val="24"/>
        </w:rPr>
        <w:t xml:space="preserve">строительно-монтажных работ по замене трубных досок и трубных пучков конденсатора турбины ст. № </w:t>
      </w:r>
      <w:r w:rsidR="00B00342">
        <w:rPr>
          <w:rFonts w:ascii="Times New Roman" w:hAnsi="Times New Roman"/>
          <w:sz w:val="24"/>
        </w:rPr>
        <w:t>3</w:t>
      </w:r>
      <w:r w:rsidR="006633C2">
        <w:rPr>
          <w:rFonts w:ascii="Times New Roman" w:hAnsi="Times New Roman"/>
          <w:sz w:val="24"/>
        </w:rPr>
        <w:t xml:space="preserve"> </w:t>
      </w:r>
      <w:r w:rsidR="006633C2">
        <w:rPr>
          <w:rFonts w:ascii="Times New Roman" w:eastAsia="Times New Roman" w:hAnsi="Times New Roman"/>
          <w:sz w:val="24"/>
          <w:szCs w:val="24"/>
        </w:rPr>
        <w:t>по проекту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AE7D36" w:rsidRPr="006633C2" w:rsidRDefault="00AE7D36" w:rsidP="00AE7D36">
      <w:pPr>
        <w:spacing w:after="0" w:line="240" w:lineRule="auto"/>
        <w:ind w:left="567" w:right="567"/>
        <w:jc w:val="center"/>
        <w:rPr>
          <w:rFonts w:ascii="Times New Roman" w:hAnsi="Times New Roman"/>
          <w:sz w:val="24"/>
        </w:rPr>
      </w:pPr>
      <w:r w:rsidRPr="006633C2">
        <w:rPr>
          <w:rFonts w:ascii="Times New Roman" w:hAnsi="Times New Roman"/>
          <w:sz w:val="24"/>
        </w:rPr>
        <w:t>«Модернизация турбин</w:t>
      </w:r>
      <w:r w:rsidR="00362016">
        <w:rPr>
          <w:rFonts w:ascii="Times New Roman" w:hAnsi="Times New Roman"/>
          <w:sz w:val="24"/>
        </w:rPr>
        <w:t>ы</w:t>
      </w:r>
      <w:r w:rsidRPr="006633C2">
        <w:rPr>
          <w:rFonts w:ascii="Times New Roman" w:hAnsi="Times New Roman"/>
          <w:sz w:val="24"/>
        </w:rPr>
        <w:t xml:space="preserve"> </w:t>
      </w:r>
      <w:r w:rsidR="00362016">
        <w:rPr>
          <w:rFonts w:ascii="Times New Roman" w:hAnsi="Times New Roman"/>
          <w:sz w:val="24"/>
        </w:rPr>
        <w:t xml:space="preserve">Т-80/104-85 </w:t>
      </w:r>
      <w:r w:rsidRPr="006633C2">
        <w:rPr>
          <w:rFonts w:ascii="Times New Roman" w:hAnsi="Times New Roman"/>
          <w:sz w:val="24"/>
        </w:rPr>
        <w:t xml:space="preserve">ст. № </w:t>
      </w:r>
      <w:r w:rsidR="00362016">
        <w:rPr>
          <w:rFonts w:ascii="Times New Roman" w:hAnsi="Times New Roman"/>
          <w:sz w:val="24"/>
        </w:rPr>
        <w:t>3</w:t>
      </w:r>
      <w:r w:rsidRPr="006633C2">
        <w:rPr>
          <w:rFonts w:ascii="Times New Roman" w:hAnsi="Times New Roman"/>
          <w:sz w:val="24"/>
        </w:rPr>
        <w:t xml:space="preserve"> в части конденсаторов</w:t>
      </w:r>
      <w:r w:rsidR="00362016">
        <w:rPr>
          <w:rFonts w:ascii="Times New Roman" w:hAnsi="Times New Roman"/>
          <w:sz w:val="24"/>
        </w:rPr>
        <w:t xml:space="preserve"> (инв. № Т000632)</w:t>
      </w:r>
    </w:p>
    <w:p w:rsidR="00AE7D36" w:rsidRDefault="00AE7D36" w:rsidP="00AE7D36">
      <w:pPr>
        <w:spacing w:after="0" w:line="240" w:lineRule="auto"/>
        <w:ind w:left="567" w:right="567"/>
        <w:jc w:val="center"/>
        <w:rPr>
          <w:rFonts w:ascii="Times New Roman" w:hAnsi="Times New Roman"/>
          <w:b/>
          <w:sz w:val="24"/>
        </w:rPr>
      </w:pP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552"/>
        <w:gridCol w:w="7938"/>
      </w:tblGrid>
      <w:tr w:rsidR="00154A82" w:rsidTr="009E2204">
        <w:trPr>
          <w:trHeight w:val="538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Default="00154A82" w:rsidP="009E26EB">
            <w:pPr>
              <w:widowControl w:val="0"/>
              <w:autoSpaceDE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Default="00154A82" w:rsidP="009E26EB">
            <w:pPr>
              <w:widowControl w:val="0"/>
              <w:autoSpaceDE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B55819" w:rsidTr="009E2204">
        <w:trPr>
          <w:trHeight w:val="2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819" w:rsidRDefault="00B55819" w:rsidP="00B5581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Заказчик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819" w:rsidRPr="00B23B56" w:rsidRDefault="00B55819" w:rsidP="00B55819">
            <w:pPr>
              <w:pStyle w:val="formattext"/>
              <w:snapToGrid w:val="0"/>
              <w:spacing w:before="0" w:beforeAutospacing="0" w:after="0" w:afterAutospacing="0"/>
              <w:rPr>
                <w:spacing w:val="-1"/>
                <w:lang w:eastAsia="en-US"/>
              </w:rPr>
            </w:pPr>
            <w:r w:rsidRPr="00B23B56">
              <w:rPr>
                <w:spacing w:val="-1"/>
                <w:lang w:eastAsia="en-US"/>
              </w:rPr>
              <w:t>ПАО «ТГК-14»</w:t>
            </w:r>
          </w:p>
        </w:tc>
      </w:tr>
      <w:tr w:rsidR="00DF0E71" w:rsidTr="009E2204">
        <w:trPr>
          <w:trHeight w:val="2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Наименование объекта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Турбина ст. № </w:t>
            </w:r>
            <w:r w:rsidR="003620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B56">
              <w:rPr>
                <w:rFonts w:ascii="Times New Roman" w:hAnsi="Times New Roman"/>
                <w:sz w:val="24"/>
                <w:szCs w:val="24"/>
              </w:rPr>
              <w:t>Читинской ТЭЦ-1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4FC">
              <w:rPr>
                <w:rFonts w:ascii="Times New Roman" w:eastAsia="Times New Roman" w:hAnsi="Times New Roman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нв. № Т0006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  <w:r w:rsidRPr="00AA14FC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  <w:p w:rsidR="00DF0E71" w:rsidRPr="005976D3" w:rsidRDefault="00DF0E71" w:rsidP="00DF0E71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0E71" w:rsidTr="00B55819">
        <w:trPr>
          <w:trHeight w:val="2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773" w:rsidRDefault="00DF0E71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3B56">
              <w:rPr>
                <w:rFonts w:ascii="Times New Roman" w:eastAsia="Times New Roman" w:hAnsi="Times New Roman"/>
                <w:sz w:val="24"/>
                <w:szCs w:val="24"/>
              </w:rPr>
              <w:t>Инвестиционная программа ПАО «ТГК-14»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DF0E71" w:rsidRDefault="00DF0E71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07F">
              <w:rPr>
                <w:rFonts w:ascii="Times New Roman" w:eastAsia="Times New Roman" w:hAnsi="Times New Roman"/>
                <w:sz w:val="24"/>
                <w:szCs w:val="24"/>
              </w:rPr>
              <w:t>Проектная документация</w:t>
            </w:r>
            <w:r w:rsidR="00982773" w:rsidRPr="0003607F">
              <w:rPr>
                <w:rFonts w:ascii="Times New Roman" w:eastAsia="Times New Roman" w:hAnsi="Times New Roman"/>
                <w:sz w:val="24"/>
                <w:szCs w:val="24"/>
              </w:rPr>
              <w:t xml:space="preserve"> шифр</w:t>
            </w:r>
            <w:r w:rsidR="0003607F">
              <w:rPr>
                <w:rFonts w:ascii="Times New Roman" w:eastAsia="Times New Roman" w:hAnsi="Times New Roman"/>
                <w:sz w:val="24"/>
                <w:szCs w:val="24"/>
              </w:rPr>
              <w:t xml:space="preserve"> 2023.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3607F">
              <w:rPr>
                <w:rFonts w:ascii="Times New Roman" w:eastAsia="Times New Roman" w:hAnsi="Times New Roman"/>
                <w:sz w:val="24"/>
                <w:szCs w:val="24"/>
              </w:rPr>
              <w:t>0.00.00.</w:t>
            </w:r>
          </w:p>
          <w:p w:rsidR="00AE7D36" w:rsidRPr="00B23B56" w:rsidRDefault="00AE7D36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0E71" w:rsidTr="009E2204">
        <w:trPr>
          <w:trHeight w:val="2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Требования к подрядчику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6334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90629">
              <w:rPr>
                <w:rFonts w:ascii="Times New Roman" w:eastAsia="Times New Roman" w:hAnsi="Times New Roman"/>
                <w:sz w:val="24"/>
                <w:szCs w:val="24"/>
              </w:rPr>
              <w:t>личие</w:t>
            </w:r>
            <w:r w:rsidRPr="007E6334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производственной базы, опыта работы по аналогичным работам и аттестованных специалистов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ИТР из включённых в реестр НОСТРОЙ,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специалистов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включённых в реестр НАКС выполняющих сварочные работы</w:t>
            </w:r>
            <w:r w:rsidRPr="007E6334">
              <w:rPr>
                <w:rFonts w:ascii="Times New Roman" w:eastAsia="Times New Roman" w:hAnsi="Times New Roman"/>
                <w:sz w:val="24"/>
                <w:szCs w:val="24"/>
              </w:rPr>
              <w:t>, иметь разрешительные и иные документы, подтверждающих наличие у организации, осуществляющей испытания, разрешений и прав, необходимых в соответствии с действующим законо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дательством РФ.</w:t>
            </w:r>
          </w:p>
          <w:p w:rsidR="00DF0E71" w:rsidRDefault="00DF0E71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278"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DF0E71" w:rsidRPr="00B23B56" w:rsidRDefault="00DF0E71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0E71" w:rsidTr="009E2204">
        <w:trPr>
          <w:trHeight w:val="5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Месторасположение Объекта и площадок строительства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Pr="00B23B56" w:rsidRDefault="00DF0E71" w:rsidP="00DF0E7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3B5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Забайкальский край, г. Чита проезд </w:t>
            </w:r>
            <w:proofErr w:type="spellStart"/>
            <w:r w:rsidRPr="00B23B5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Энергостроителей</w:t>
            </w:r>
            <w:proofErr w:type="spellEnd"/>
            <w:r w:rsidRPr="00B23B5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1, </w:t>
            </w:r>
            <w:proofErr w:type="spellStart"/>
            <w:r w:rsidRPr="00B23B5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пром</w:t>
            </w:r>
            <w:proofErr w:type="spellEnd"/>
            <w:r w:rsidRPr="00B23B56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 площадка Читинской ТЭЦ-1.</w:t>
            </w:r>
          </w:p>
        </w:tc>
      </w:tr>
      <w:tr w:rsidR="00DF0E71" w:rsidTr="009E2204">
        <w:trPr>
          <w:trHeight w:val="19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Pr="009115D5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9115D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Цель работ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AE7D36" w:rsidP="00DF0E71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E7D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Улучшение технико-экономических показателей, повышение экономичности и надежности работы турбины за счет модернизации конденсатора путем замены трубных пучков </w:t>
            </w:r>
            <w:proofErr w:type="gramStart"/>
            <w:r w:rsidRPr="00AE7D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заменой материала</w:t>
            </w:r>
            <w:proofErr w:type="gramEnd"/>
            <w:r w:rsidRPr="00AE7D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трубок с латуни Л68 на нержавеющую сталь 08Х18Н10Т и замены трубных досок конденсатора.</w:t>
            </w:r>
          </w:p>
          <w:p w:rsidR="00AE7D36" w:rsidRPr="00B23B56" w:rsidRDefault="00AE7D36" w:rsidP="00DF0E71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AE7D36" w:rsidTr="009E2204">
        <w:trPr>
          <w:trHeight w:val="19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D36" w:rsidRDefault="00AE7D36" w:rsidP="00AE7D36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Сведения об Объекте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D36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Турбина ст. № 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Читинской ТЭЦ-1, тип </w:t>
            </w:r>
            <w:r w:rsidR="00362016">
              <w:rPr>
                <w:rFonts w:ascii="Times New Roman" w:hAnsi="Times New Roman"/>
                <w:sz w:val="24"/>
              </w:rPr>
              <w:t>Т-80/104-85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E7D36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характеристики: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Номинальная электрическая мощность – 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 МВт;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 острого пара перед турбиной - 87 кгс/см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Температура острого пара перед турбиной – 520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С;</w:t>
            </w:r>
          </w:p>
          <w:p w:rsidR="00AE7D36" w:rsidRPr="009F792A" w:rsidRDefault="00AE7D36" w:rsidP="00AE7D36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Вакуум в конденсаторе – 0,9 кгс/см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E7D36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Турбина изготовлена с конденсатором 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0-КЦС, имеющим следующие характеристики: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трубок в трубных пучках 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 xml:space="preserve">каждого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конденсатор</w:t>
            </w:r>
            <w:r w:rsidR="00362016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5800 шт.;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 трубок – латунь Л68;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 трубок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25*1 мм, длина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</w:t>
            </w:r>
            <w:r w:rsidRPr="00804A9A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6650 мм.</w:t>
            </w:r>
          </w:p>
          <w:p w:rsidR="00AE7D36" w:rsidRPr="00F96A8E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AE7D36" w:rsidTr="009E2204">
        <w:trPr>
          <w:trHeight w:val="19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D36" w:rsidRPr="0077605C" w:rsidRDefault="00AE7D36" w:rsidP="00AE7D36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77605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Назначение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D36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Турбина ст. № </w:t>
            </w:r>
            <w:r w:rsidR="003620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предназначена для выработки электрической энергии и отпуска тепловой энергии на нужды потребителей.</w:t>
            </w:r>
          </w:p>
          <w:p w:rsidR="00AE7D36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Конденсатор (в составе конденсационного устройства турбины) предназначен для: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Создания и поддержания как можно более низкого давления в выпускной части турбины;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Конденсации отработавшего пара;</w:t>
            </w:r>
          </w:p>
          <w:p w:rsidR="00AE7D36" w:rsidRDefault="00AE7D36" w:rsidP="00AE7D36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Сбора конденсата и его возврата в пароводяной тракт котлов.</w:t>
            </w:r>
          </w:p>
          <w:p w:rsidR="00AE7D36" w:rsidRPr="00B23B56" w:rsidRDefault="00AE7D36" w:rsidP="00AE7D36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DF0E71" w:rsidTr="009E2204">
        <w:trPr>
          <w:trHeight w:val="19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Pr="0077605C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Требования к качеству работ, гарантия на выполненные работы и оборудование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EEB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 xml:space="preserve">Выполнить работы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 ПСД</w:t>
            </w:r>
            <w:r w:rsidRPr="00EE6FEF">
              <w:rPr>
                <w:rFonts w:ascii="Times New Roman" w:hAnsi="Times New Roman"/>
                <w:sz w:val="24"/>
                <w:szCs w:val="24"/>
              </w:rPr>
              <w:t xml:space="preserve"> и нормативными документами согласно п.10 технического задания. </w:t>
            </w:r>
          </w:p>
          <w:p w:rsidR="003A1EEB" w:rsidRDefault="003A1EEB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Исполнять все требования шеф-инженера завода-изготовителя турбины и представителя авторского надзора</w:t>
            </w:r>
            <w:r w:rsidR="00591379">
              <w:rPr>
                <w:rFonts w:ascii="Times New Roman" w:hAnsi="Times New Roman"/>
                <w:sz w:val="24"/>
                <w:szCs w:val="24"/>
              </w:rPr>
              <w:t xml:space="preserve"> касающиеся производства 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="009D0EC0">
              <w:rPr>
                <w:rFonts w:ascii="Times New Roman" w:hAnsi="Times New Roman"/>
                <w:sz w:val="24"/>
                <w:szCs w:val="24"/>
              </w:rPr>
              <w:t xml:space="preserve"> условии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согласован</w:t>
            </w:r>
            <w:r w:rsidR="009D0EC0">
              <w:rPr>
                <w:rFonts w:ascii="Times New Roman" w:hAnsi="Times New Roman"/>
                <w:sz w:val="24"/>
                <w:szCs w:val="24"/>
              </w:rPr>
              <w:t>ия данных требований с Заказчиком</w:t>
            </w:r>
            <w:r w:rsidR="001C25C3">
              <w:rPr>
                <w:rFonts w:ascii="Times New Roman" w:hAnsi="Times New Roman"/>
                <w:sz w:val="24"/>
                <w:szCs w:val="24"/>
              </w:rPr>
              <w:t xml:space="preserve"> (в случае п</w:t>
            </w:r>
            <w:r w:rsidR="00591379">
              <w:rPr>
                <w:rFonts w:ascii="Times New Roman" w:hAnsi="Times New Roman"/>
                <w:sz w:val="24"/>
                <w:szCs w:val="24"/>
              </w:rPr>
              <w:t>ривлечения данных специалистов для</w:t>
            </w:r>
            <w:r w:rsidR="001C25C3">
              <w:rPr>
                <w:rFonts w:ascii="Times New Roman" w:hAnsi="Times New Roman"/>
                <w:sz w:val="24"/>
                <w:szCs w:val="24"/>
              </w:rPr>
              <w:t xml:space="preserve"> выполнения работ)</w:t>
            </w:r>
            <w:r w:rsidR="009D0E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0E71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Подрядчик несёт ответственность за допущенные отступления от требований, предусмотренных в проектной документации и в обязательных для сторон строительных норм и правилах за снижение или потерю прочности,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устойчивости, надёжности</w:t>
            </w:r>
            <w:r w:rsidRPr="00EE6FEF">
              <w:rPr>
                <w:rFonts w:ascii="Times New Roman" w:hAnsi="Times New Roman"/>
                <w:sz w:val="24"/>
                <w:szCs w:val="24"/>
              </w:rPr>
              <w:t xml:space="preserve"> сооружения или его части после проведённого ремонта, а также за не достижение указанных в техническом задании показателей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Подрядчик доставляет на Объект необходимые материалы, оборудование, изделия, конструкции, строительную технику, а также осуществляет их разгрузку и складирование.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С момента начала работ и до их завершения, Подрядчик ведёт журнал производства работ, в котором отражается весь ход производства, а также все факты и обстоятельства, связанные с производством работ, имеющие значение во взаимоотношениях сторон.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Временные подсоединения коммуникаций на период выполнения работ и подсоединения, в точках подключения осуществляет Подрядчик по согласованию с Заказчиком.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За три рабочих дня до начала приёмки скрытых работ Подрядчик письменно, в том числе при помощи факсимильной связи информирует заказчика о времени освидетельствовании скрытых работ.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Готовность принимаемых работ подтверждается подписанием заказчиком и Подрядчиком актов освидетельствования скрытых работ.</w:t>
            </w:r>
          </w:p>
          <w:p w:rsidR="00DF0E71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Подрядчик приступает к выполнению последующих работ только после письменного разрешения заказчика, внесённо</w:t>
            </w:r>
            <w:r>
              <w:rPr>
                <w:rFonts w:ascii="Times New Roman" w:hAnsi="Times New Roman"/>
                <w:sz w:val="24"/>
                <w:szCs w:val="24"/>
              </w:rPr>
              <w:t>го в журнал производства работ.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Если скрытые работы выполнены без подтверждения заказчика или он не был информирован об этом или информирован с опозданием, то по его требованию и указанию Подрядчик обязан за свой счёт вскрыть любую часть скрытых работ, а затем восстановить её.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>Все характеристики материалов (комплектующих оборудования) должны соответствовать характеристикам материалов (комплектующих оборудования) заказчика, указанных в Локальной смете и рабочей документации проекта или превосходить их по сво</w:t>
            </w:r>
            <w:r>
              <w:rPr>
                <w:rFonts w:ascii="Times New Roman" w:hAnsi="Times New Roman"/>
                <w:sz w:val="24"/>
                <w:szCs w:val="24"/>
              </w:rPr>
              <w:t>им техническим характеристикам, наличие сертификатов на материалы и оборудование обязательно.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lastRenderedPageBreak/>
              <w:t>Эквивалентность (аналогичность) оборудования, предлагаемого подрядчиком к поставке, определяется в соответствии с требованиями и показателями, изложенными в проекте</w:t>
            </w:r>
            <w:r w:rsidRPr="00EE6F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 xml:space="preserve"> Гарантийный срок составляет 12 месяцев с момента подписания сторонами акта выполненных работ.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 xml:space="preserve"> Срок гарантии на поставляемые материалы и оборудование должен быть не менее 1 года. Время начала исчисления гарантийного срока – с момента ввода оборудования в эксплуатацию.</w:t>
            </w:r>
          </w:p>
          <w:p w:rsidR="00DF0E71" w:rsidRPr="00EE6FEF" w:rsidRDefault="00DF0E71" w:rsidP="00DF0E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 xml:space="preserve">   Подрядчик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      </w:r>
          </w:p>
          <w:p w:rsidR="00DF0E71" w:rsidRPr="00EE6FEF" w:rsidRDefault="00DF0E71" w:rsidP="00DF0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FEF">
              <w:rPr>
                <w:rFonts w:ascii="Times New Roman" w:hAnsi="Times New Roman"/>
                <w:sz w:val="24"/>
                <w:szCs w:val="24"/>
              </w:rPr>
              <w:t xml:space="preserve">  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           Гарантийный срок в этом случае продлевается соответственно на период устранения дефектов. Течение гарантийного срока прерывается на время, со дня направления Заказчиком письменного уведомления Подрядчику об обнаружении недостатков до дня устранения их Подрядчиком.</w:t>
            </w:r>
          </w:p>
          <w:p w:rsidR="00DF0E71" w:rsidRDefault="00DF0E71" w:rsidP="00DF0E71">
            <w:pPr>
              <w:pStyle w:val="a3"/>
              <w:tabs>
                <w:tab w:val="left" w:pos="426"/>
              </w:tabs>
              <w:adjustRightInd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FEF">
              <w:rPr>
                <w:rFonts w:ascii="Times New Roman" w:hAnsi="Times New Roman" w:cs="Times New Roman"/>
                <w:sz w:val="24"/>
                <w:szCs w:val="24"/>
              </w:rPr>
              <w:t xml:space="preserve">     Подрядчик обязан в ходе выполнения работ сохранить в работоспособном состоянии кабельно-распределительные сети (электропроводка, система пожарной сигнализации). В случае повреждения указанных сетей и систем немедленно восстановить их работоспособность в полном объеме за счет собственных средств.</w:t>
            </w:r>
          </w:p>
          <w:p w:rsidR="00DF0E71" w:rsidRPr="00EE6FEF" w:rsidRDefault="00DF0E71" w:rsidP="00DF0E71">
            <w:pPr>
              <w:pStyle w:val="a3"/>
              <w:tabs>
                <w:tab w:val="left" w:pos="426"/>
              </w:tabs>
              <w:adjustRightInd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Подрядчик в ходе выполнения работ своевременно вести и оформлять исполнительную документацию, отражающую ход выполнения работ. По завершении работ подрядчик обязан сдать Заказчику полный комплект исполнительной документации.</w:t>
            </w:r>
          </w:p>
          <w:p w:rsidR="00DF0E71" w:rsidRDefault="00DF0E71" w:rsidP="00DF0E71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FEF">
              <w:rPr>
                <w:rFonts w:ascii="Times New Roman" w:hAnsi="Times New Roman" w:cs="Times New Roman"/>
                <w:sz w:val="24"/>
                <w:szCs w:val="24"/>
              </w:rPr>
              <w:t xml:space="preserve">      Подрядчик обязан применять методы работы, не наносящие повреждений интерьеру помещений Заказчика. В случае повреждения интерьера немедленно восстановить его в полном объеме за счет собственных средств.</w:t>
            </w:r>
          </w:p>
          <w:p w:rsidR="00DF0E71" w:rsidRPr="00B23B56" w:rsidRDefault="00DF0E71" w:rsidP="00DF0E71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61374" w:rsidTr="009E2204">
        <w:trPr>
          <w:trHeight w:val="53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374" w:rsidRDefault="00361374" w:rsidP="0036137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Перечень нормативных документов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374" w:rsidRPr="006B20D0" w:rsidRDefault="00361374" w:rsidP="00361374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after="0" w:line="274" w:lineRule="exact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0D0">
              <w:rPr>
                <w:rFonts w:ascii="Times New Roman" w:hAnsi="Times New Roman"/>
                <w:sz w:val="24"/>
                <w:szCs w:val="24"/>
              </w:rPr>
              <w:t>Работы должны быть выполнены в соответствии с федеральными, отраслевыми нормативно-техническими документами РФ.</w:t>
            </w:r>
          </w:p>
          <w:p w:rsidR="00361374" w:rsidRPr="005B00ED" w:rsidRDefault="00361374" w:rsidP="00361374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after="0" w:line="274" w:lineRule="exact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0D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должна осуществляться в соответствии: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>Градостроительный кодекс РФ от 29.12.2004 № 190-ФЗ.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>Федеральный закон от 21.07.2011 № 256-ФЗ «О безопасности объектов топливно-энергетического комплекса».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>Федеральный закон от 26.06.2008 № 102-ФЗ «Об обеспечении единства измерений».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>Федеральный закон от 26.03.2003 № 35-ФЗ «Об электроэнергетике».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>Федеральный закон от 27.12.2002 № 184-ФЗ «О техническом регулировании».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 xml:space="preserve">Правила технологического функционирования </w:t>
            </w:r>
            <w:r w:rsidRPr="007E602F">
              <w:rPr>
                <w:rFonts w:ascii="Times New Roman" w:hAnsi="Times New Roman"/>
                <w:sz w:val="24"/>
                <w:szCs w:val="24"/>
              </w:rPr>
              <w:lastRenderedPageBreak/>
              <w:t>электроэнергетических систем, утв. п</w:t>
            </w:r>
            <w:r w:rsidRPr="00A210F7"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РФ </w:t>
            </w:r>
            <w:r w:rsidRPr="007E602F">
              <w:rPr>
                <w:rFonts w:ascii="Times New Roman" w:hAnsi="Times New Roman"/>
                <w:sz w:val="24"/>
                <w:szCs w:val="24"/>
              </w:rPr>
              <w:t>от 13.08.2018 № 937.</w:t>
            </w:r>
          </w:p>
          <w:p w:rsidR="00361374" w:rsidRPr="001C7CC0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CC0">
              <w:rPr>
                <w:rFonts w:ascii="Times New Roman" w:hAnsi="Times New Roman"/>
                <w:sz w:val="24"/>
                <w:szCs w:val="24"/>
              </w:rPr>
              <w:t>Методические указания по проектированию развития энергосистем, утвержденные приказом Минэнерго России от 06.12.2022 № 1286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CC0">
              <w:rPr>
                <w:rFonts w:ascii="Times New Roman" w:hAnsi="Times New Roman"/>
                <w:sz w:val="24"/>
                <w:szCs w:val="24"/>
              </w:rPr>
              <w:t>Правила технической эксплуатации электрических станций и сетей, утвержденные приказом Минэнерго России от 04.10.2022 № 1070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>Положение о единицах величин, допускаемых к применению в РФ, утв. постановлением Правительства РФ от 31.10.2009 № 879.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06A">
              <w:rPr>
                <w:rFonts w:ascii="Times New Roman" w:hAnsi="Times New Roman"/>
                <w:sz w:val="24"/>
                <w:szCs w:val="24"/>
              </w:rPr>
              <w:t>Постановление Правительства Российской Федерации от 16.02.2008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1C7C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6A">
              <w:rPr>
                <w:rFonts w:ascii="Times New Roman" w:hAnsi="Times New Roman"/>
                <w:sz w:val="24"/>
                <w:szCs w:val="24"/>
              </w:rPr>
              <w:t>№ 87 «О составе разделов проектной документации и требованиях к их содержанию».</w:t>
            </w:r>
          </w:p>
          <w:p w:rsidR="00361374" w:rsidRPr="0053706A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</w:tabs>
              <w:spacing w:after="0"/>
              <w:ind w:left="4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06A">
              <w:rPr>
                <w:rFonts w:ascii="Times New Roman" w:hAnsi="Times New Roman"/>
                <w:sz w:val="24"/>
                <w:szCs w:val="24"/>
              </w:rPr>
              <w:t xml:space="preserve"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утв. постановлением Правительства РФ от </w:t>
            </w:r>
            <w:r w:rsidRPr="00B97BC1">
              <w:rPr>
                <w:rFonts w:ascii="Times New Roman" w:hAnsi="Times New Roman"/>
                <w:sz w:val="24"/>
                <w:szCs w:val="24"/>
              </w:rPr>
              <w:t>30.12.2009 N 384-ФЗ</w:t>
            </w:r>
            <w:r w:rsidRPr="005370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 xml:space="preserve">Требования к обеспечению надежности электроэнергетических систем, надежности и безопасности объектов электроэнергетики и </w:t>
            </w:r>
            <w:proofErr w:type="spellStart"/>
            <w:r w:rsidRPr="007E602F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7E602F">
              <w:rPr>
                <w:rFonts w:ascii="Times New Roman" w:hAnsi="Times New Roman"/>
                <w:sz w:val="24"/>
                <w:szCs w:val="24"/>
              </w:rPr>
              <w:t xml:space="preserve"> установок «Методические указания по устойчивости энергосистем», утв. приказом Минэнерго России от 03.08.2018 № 630.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Требования</w:t>
            </w:r>
            <w:r w:rsidRPr="007E602F">
              <w:rPr>
                <w:rFonts w:ascii="Times New Roman" w:hAnsi="Times New Roman"/>
                <w:sz w:val="24"/>
                <w:szCs w:val="24"/>
              </w:rPr>
              <w:t xml:space="preserve"> к перегрузочной способности трансформаторов и автотрансформаторов, установленных на объектах электроэнергетики, и ее поддержанию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утв.</w:t>
            </w:r>
            <w:r w:rsidRPr="007E602F">
              <w:rPr>
                <w:rFonts w:ascii="Times New Roman" w:hAnsi="Times New Roman"/>
                <w:sz w:val="24"/>
                <w:szCs w:val="24"/>
              </w:rPr>
              <w:t xml:space="preserve"> прика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зом</w:t>
            </w:r>
            <w:r w:rsidRPr="007E602F">
              <w:rPr>
                <w:rFonts w:ascii="Times New Roman" w:hAnsi="Times New Roman"/>
                <w:sz w:val="24"/>
                <w:szCs w:val="24"/>
              </w:rPr>
              <w:t xml:space="preserve"> Минэнерго России от 08.02.2019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Pr="007E602F">
              <w:rPr>
                <w:rFonts w:ascii="Times New Roman" w:hAnsi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61374" w:rsidRPr="007E602F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>Приказ Минэнерго России от 16.08.2019 N 858</w:t>
            </w:r>
            <w:r w:rsidRPr="00133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602F">
              <w:rPr>
                <w:rFonts w:ascii="Times New Roman" w:hAnsi="Times New Roman"/>
                <w:sz w:val="24"/>
                <w:szCs w:val="24"/>
              </w:rPr>
              <w:t>"Об утверждении Методических указаний по технологическому проектированию тепловых электростанций"</w:t>
            </w:r>
            <w:r w:rsidRPr="001330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1374" w:rsidRPr="007E602F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 xml:space="preserve">Требования к обеспечению надежности электроэнергетических систем, надежности и безопасности объектов электроэнергетики и </w:t>
            </w:r>
            <w:proofErr w:type="spellStart"/>
            <w:r w:rsidRPr="00A210F7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A210F7">
              <w:rPr>
                <w:rFonts w:ascii="Times New Roman" w:hAnsi="Times New Roman"/>
                <w:sz w:val="24"/>
                <w:szCs w:val="24"/>
              </w:rPr>
              <w:t xml:space="preserve"> установок «Правила предотвращения развития и ликвидации нарушений нормального режима электрической части энергосистем и объектов электроэнергетики», утв. приказом Минэнерго России от 12.07.2018 № 548.</w:t>
            </w:r>
          </w:p>
          <w:p w:rsidR="00361374" w:rsidRPr="00A210F7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>СП 76.13330.2016. Свод правил. Электротехнические устройства. Актуализированная редакция СНиП 3.05.06-85, утв. приказом Минстроя России от 16.12.2016 № 955/пр.</w:t>
            </w:r>
          </w:p>
          <w:p w:rsidR="00361374" w:rsidRPr="00B97BC1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 xml:space="preserve">СП 90.13330.2012. Свод правил. Электростанции тепловые. Актуализированная редакция СНиП II-58-75, утв. приказом </w:t>
            </w:r>
            <w:proofErr w:type="spellStart"/>
            <w:r w:rsidRPr="00A210F7">
              <w:rPr>
                <w:rFonts w:ascii="Times New Roman" w:hAnsi="Times New Roman"/>
                <w:sz w:val="24"/>
                <w:szCs w:val="24"/>
              </w:rPr>
              <w:t>Минрегиона</w:t>
            </w:r>
            <w:proofErr w:type="spellEnd"/>
            <w:r w:rsidRPr="00A210F7">
              <w:rPr>
                <w:rFonts w:ascii="Times New Roman" w:hAnsi="Times New Roman"/>
                <w:sz w:val="24"/>
                <w:szCs w:val="24"/>
              </w:rPr>
              <w:t xml:space="preserve"> России от 30.06.2012 № 282.</w:t>
            </w:r>
          </w:p>
          <w:p w:rsidR="00361374" w:rsidRPr="00B97BC1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 xml:space="preserve">Правила устройства электроустановок (ПУЭ)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,актуальная редакция.</w:t>
            </w:r>
          </w:p>
          <w:p w:rsidR="00361374" w:rsidRPr="007D770D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0F7">
              <w:rPr>
                <w:rFonts w:ascii="Times New Roman" w:hAnsi="Times New Roman"/>
                <w:sz w:val="24"/>
                <w:szCs w:val="24"/>
              </w:rPr>
              <w:t xml:space="preserve">ГОСТ Р 56302-2014. Национальный стандарт РФ. 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 утв. и введен в действие приказом </w:t>
            </w:r>
            <w:proofErr w:type="spellStart"/>
            <w:r w:rsidRPr="00A210F7">
              <w:rPr>
                <w:rFonts w:ascii="Times New Roman" w:hAnsi="Times New Roman"/>
                <w:sz w:val="24"/>
                <w:szCs w:val="24"/>
              </w:rPr>
              <w:t>Росстандарта</w:t>
            </w:r>
            <w:proofErr w:type="spellEnd"/>
            <w:r w:rsidRPr="00A210F7">
              <w:rPr>
                <w:rFonts w:ascii="Times New Roman" w:hAnsi="Times New Roman"/>
                <w:sz w:val="24"/>
                <w:szCs w:val="24"/>
              </w:rPr>
              <w:t xml:space="preserve"> от 12.12.2014 № 1983-ст.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D770D">
              <w:rPr>
                <w:rFonts w:ascii="Times New Roman" w:hAnsi="Times New Roman"/>
                <w:sz w:val="24"/>
                <w:szCs w:val="24"/>
              </w:rPr>
              <w:t xml:space="preserve">  </w:t>
            </w:r>
          </w:p>
          <w:p w:rsidR="00361374" w:rsidRPr="008E4292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0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Требования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автоматики, а также к принципам функционирования устройств и комплексов релейной защиты и автоматики, утвержденные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D57706">
              <w:rPr>
                <w:rFonts w:ascii="Times New Roman" w:hAnsi="Times New Roman"/>
                <w:sz w:val="24"/>
                <w:szCs w:val="24"/>
                <w:lang w:val="ru-RU"/>
              </w:rPr>
              <w:t>риказом Минэнерго РФ от 13 февраля 2019 г. N 101.</w:t>
            </w:r>
          </w:p>
          <w:p w:rsidR="00361374" w:rsidRPr="007E67A5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57706">
              <w:rPr>
                <w:rFonts w:ascii="Times New Roman" w:hAnsi="Times New Roman"/>
                <w:sz w:val="24"/>
                <w:szCs w:val="24"/>
              </w:rPr>
              <w:t xml:space="preserve">ГОСТ Р 58983-2020. Единая энергетическая система и изолированно работающие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энергосистемы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релейная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защита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автоматика</w:t>
            </w:r>
            <w:r w:rsidRPr="007E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автотрансформаторов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трансформаторов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шунтирующих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реакторов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высшим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напряжения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110 кВ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E67A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1374" w:rsidRPr="00D57706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57706">
              <w:rPr>
                <w:rFonts w:ascii="Times New Roman" w:hAnsi="Times New Roman"/>
                <w:sz w:val="24"/>
                <w:szCs w:val="24"/>
              </w:rPr>
              <w:t>Правила создания (модернизации) комплексов и устройств релейной защиты и автоматики в энергосистеме, утвержденные Приказом Минэнерго от 13 июля 2020 года N 556.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57706">
              <w:rPr>
                <w:rFonts w:ascii="Times New Roman" w:hAnsi="Times New Roman"/>
                <w:sz w:val="24"/>
                <w:szCs w:val="24"/>
              </w:rPr>
              <w:t>Требования к релейной защите и автоматике различных видов и ее функционированию в составе энергосистемы, утвержденные приказом Минэнерго РФ от 10 июля 2020 года N 546.</w:t>
            </w:r>
          </w:p>
          <w:p w:rsidR="00361374" w:rsidRPr="00674E8E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E8E">
              <w:rPr>
                <w:rFonts w:ascii="Times New Roman" w:hAnsi="Times New Roman"/>
                <w:sz w:val="24"/>
                <w:szCs w:val="24"/>
              </w:rPr>
              <w:t>Приказ Минстроя России от 16.05.2023 N 344/</w:t>
            </w:r>
            <w:proofErr w:type="spellStart"/>
            <w:r w:rsidRPr="00674E8E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674E8E">
              <w:rPr>
                <w:rFonts w:ascii="Times New Roman" w:hAnsi="Times New Roman"/>
                <w:sz w:val="24"/>
                <w:szCs w:val="24"/>
              </w:rPr>
              <w:t xml:space="preserve"> "Об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строительства" (Зарегистрировано в Минюсте России 31.05.2023 N 73652)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61374" w:rsidRPr="007E602F" w:rsidRDefault="00495650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61374" w:rsidRPr="007E602F">
                <w:rPr>
                  <w:rFonts w:ascii="Times New Roman" w:hAnsi="Times New Roman"/>
                  <w:sz w:val="24"/>
                  <w:szCs w:val="24"/>
                </w:rPr>
                <w:t>Национальный стандарт РФ ГОСТ Р 21.101-2020 "Система проектной документации для строительства. Основные требования к проектной и рабочей документации" (утв. и введен в действие приказом Федерального агентства по техническому регулированию и метрологии от 23 июня 2020 г. N 282-ст)</w:t>
              </w:r>
            </w:hyperlink>
            <w:r w:rsidR="00361374" w:rsidRPr="007E60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1374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02F">
              <w:rPr>
                <w:rFonts w:ascii="Times New Roman" w:hAnsi="Times New Roman"/>
                <w:sz w:val="24"/>
                <w:szCs w:val="24"/>
              </w:rPr>
              <w:t xml:space="preserve"> Инструкция по оформлению приемо-сдаточной документации по электромонтажным работам И 1.13-07</w:t>
            </w:r>
            <w:r w:rsidRPr="001C7C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1374" w:rsidRPr="00674E8E" w:rsidRDefault="00361374" w:rsidP="00361374">
            <w:pPr>
              <w:pStyle w:val="3"/>
              <w:widowControl w:val="0"/>
              <w:numPr>
                <w:ilvl w:val="0"/>
                <w:numId w:val="9"/>
              </w:numPr>
              <w:tabs>
                <w:tab w:val="left" w:pos="-4860"/>
                <w:tab w:val="left" w:pos="600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E8E">
              <w:rPr>
                <w:rFonts w:ascii="Times New Roman" w:hAnsi="Times New Roman"/>
                <w:sz w:val="24"/>
                <w:szCs w:val="24"/>
              </w:rPr>
              <w:t>СП 48.13330.2019. Организация строительства. СНиП 12-01-2004" (утв. и введен в действие Приказом Минстроя России от 24.12.2019 N 861/</w:t>
            </w:r>
            <w:proofErr w:type="spellStart"/>
            <w:r w:rsidRPr="00674E8E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674E8E">
              <w:rPr>
                <w:rFonts w:ascii="Times New Roman" w:hAnsi="Times New Roman"/>
                <w:sz w:val="24"/>
                <w:szCs w:val="24"/>
              </w:rPr>
              <w:t>) (ред. от 28.03.2022)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61374" w:rsidRPr="001C7CC0" w:rsidRDefault="00361374" w:rsidP="00361374">
            <w:pPr>
              <w:pStyle w:val="3"/>
              <w:widowControl w:val="0"/>
              <w:tabs>
                <w:tab w:val="left" w:pos="-4860"/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proofErr w:type="spellStart"/>
            <w:r w:rsidRPr="001C7CC0">
              <w:rPr>
                <w:rFonts w:ascii="Times New Roman" w:hAnsi="Times New Roman"/>
                <w:sz w:val="24"/>
                <w:szCs w:val="24"/>
              </w:rPr>
              <w:t>ругими</w:t>
            </w:r>
            <w:proofErr w:type="spellEnd"/>
            <w:r w:rsidRPr="001C7CC0">
              <w:rPr>
                <w:rFonts w:ascii="Times New Roman" w:hAnsi="Times New Roman"/>
                <w:sz w:val="24"/>
                <w:szCs w:val="24"/>
              </w:rPr>
              <w:t xml:space="preserve"> нормативными документами.</w:t>
            </w:r>
          </w:p>
          <w:p w:rsidR="00361374" w:rsidRPr="007E602F" w:rsidRDefault="00361374" w:rsidP="00361374">
            <w:pPr>
              <w:pStyle w:val="3"/>
              <w:widowControl w:val="0"/>
              <w:tabs>
                <w:tab w:val="left" w:pos="-4860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CC0">
              <w:rPr>
                <w:rFonts w:ascii="Times New Roman" w:hAnsi="Times New Roman"/>
                <w:sz w:val="24"/>
                <w:szCs w:val="24"/>
              </w:rPr>
              <w:t>Данный список не является полным и окончательным. Необходимо руководствоваться актуальными редак</w:t>
            </w:r>
            <w:r w:rsidRPr="00C22B84">
              <w:rPr>
                <w:rFonts w:ascii="Times New Roman" w:hAnsi="Times New Roman"/>
                <w:sz w:val="24"/>
                <w:szCs w:val="24"/>
              </w:rPr>
              <w:t>циями документов, необходимых и д</w:t>
            </w:r>
            <w:r w:rsidRPr="001C7CC0">
              <w:rPr>
                <w:rFonts w:ascii="Times New Roman" w:hAnsi="Times New Roman"/>
                <w:sz w:val="24"/>
                <w:szCs w:val="24"/>
              </w:rPr>
              <w:t>ействующих на момент разработки документации, в том числе не указанных в данном пункте настоящего технического задания.</w:t>
            </w:r>
          </w:p>
        </w:tc>
      </w:tr>
      <w:tr w:rsidR="005E23B2" w:rsidTr="00154A6B">
        <w:trPr>
          <w:trHeight w:val="3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23B2" w:rsidRDefault="005E23B2" w:rsidP="005E23B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3B2" w:rsidRPr="0003607F" w:rsidRDefault="005E23B2" w:rsidP="005E23B2">
            <w:pPr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3F2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Состав работ определен рабочей документацией</w:t>
            </w:r>
            <w:r w:rsidRPr="00DE3F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23B2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8E6CD3" w:rsidRPr="00362016">
              <w:rPr>
                <w:rFonts w:ascii="Times New Roman" w:eastAsia="Times New Roman" w:hAnsi="Times New Roman"/>
                <w:sz w:val="24"/>
                <w:szCs w:val="24"/>
              </w:rPr>
              <w:t>Разработка проектной документации по</w:t>
            </w:r>
            <w:r w:rsidR="008E6CD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E6CD3" w:rsidRPr="00362016">
              <w:rPr>
                <w:rFonts w:ascii="Times New Roman" w:eastAsia="Times New Roman" w:hAnsi="Times New Roman"/>
                <w:sz w:val="24"/>
                <w:szCs w:val="24"/>
              </w:rPr>
              <w:t>модернизации турбин ст. №3,4,5 в части</w:t>
            </w:r>
            <w:r w:rsidR="008E6CD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E6CD3" w:rsidRPr="00362016">
              <w:rPr>
                <w:rFonts w:ascii="Times New Roman" w:eastAsia="Times New Roman" w:hAnsi="Times New Roman"/>
                <w:sz w:val="24"/>
                <w:szCs w:val="24"/>
              </w:rPr>
              <w:t>конденсаторов Читинской ТЭЦ-1</w:t>
            </w:r>
            <w:r w:rsidR="008E6CD3" w:rsidRPr="0003607F">
              <w:rPr>
                <w:rFonts w:ascii="Times New Roman" w:eastAsia="Times New Roman" w:hAnsi="Times New Roman"/>
                <w:sz w:val="24"/>
                <w:szCs w:val="24"/>
              </w:rPr>
              <w:t>» шифр 2023.</w:t>
            </w:r>
            <w:r w:rsidR="008E6CD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8E6CD3" w:rsidRPr="0003607F">
              <w:rPr>
                <w:rFonts w:ascii="Times New Roman" w:eastAsia="Times New Roman" w:hAnsi="Times New Roman"/>
                <w:sz w:val="24"/>
                <w:szCs w:val="24"/>
              </w:rPr>
              <w:t>0.00.00</w:t>
            </w:r>
            <w:r w:rsidRPr="0003607F">
              <w:rPr>
                <w:rFonts w:ascii="Times New Roman" w:eastAsia="Times New Roman" w:hAnsi="Times New Roman"/>
                <w:sz w:val="24"/>
                <w:szCs w:val="24"/>
              </w:rPr>
              <w:t>, в том числе: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07F">
              <w:rPr>
                <w:rFonts w:ascii="Times New Roman" w:eastAsia="Times New Roman" w:hAnsi="Times New Roman"/>
                <w:sz w:val="24"/>
                <w:szCs w:val="24"/>
              </w:rPr>
              <w:t>Демонтаж крышек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конденсаторов;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Демонтаж трубок;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Дефектация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деталей паровой части конденсатора, находящихся внутри трубных пучков и недоступных для заблаговременной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дефектации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Замена трубных досок конденсатора и прочих деталей, забракованных по результатам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дефектации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Монтаж новых трубок;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Гидроиспытания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паровой части конденсатора;</w:t>
            </w:r>
          </w:p>
          <w:p w:rsidR="005E23B2" w:rsidRDefault="005E23B2" w:rsidP="005E23B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Монтаж крышек конденсатора.</w:t>
            </w:r>
          </w:p>
          <w:p w:rsidR="005E23B2" w:rsidRPr="0094411D" w:rsidRDefault="005E23B2" w:rsidP="005E23B2">
            <w:pPr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0E71" w:rsidTr="009E2204">
        <w:trPr>
          <w:trHeight w:val="33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EF05B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Состав документации, передаваемой Заказчику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передает Заказчику исполнительную документацию в соответствии с РД-11-02-2006 в составе (но не ограничиваясь):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общий журнал работ; 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журнал бетонных работ;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журнал сварочных работ;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акты освидетельствования скрытых работ;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исполнительные схемы положения оборудования и конструкций;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комплект сварочной документации на монтаж новых трубопроводов, включающий в себя в том числе исполнительные схемы вновь смонтированных трубопроводов, заключения о контроле металла сварных стыков, документы об аттестации сварочного производства.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ко</w:t>
            </w:r>
            <w:r w:rsidRPr="003362B1">
              <w:rPr>
                <w:rFonts w:ascii="Times New Roman" w:eastAsia="Times New Roman" w:hAnsi="Times New Roman"/>
                <w:sz w:val="24"/>
                <w:szCs w:val="24"/>
              </w:rPr>
              <w:t>мплект рабочих чертежей с надписями о соответствии выполненных в натуре работ этим чертежам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362B1">
              <w:rPr>
                <w:rFonts w:ascii="Times New Roman" w:eastAsia="Times New Roman" w:hAnsi="Times New Roman"/>
                <w:sz w:val="24"/>
                <w:szCs w:val="24"/>
              </w:rPr>
              <w:t>акты испытания и опробования технических устройств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(трубопроводной арматуры и ее приводов)</w:t>
            </w:r>
            <w:r w:rsidRPr="003362B1">
              <w:rPr>
                <w:rFonts w:ascii="Times New Roman" w:eastAsia="Times New Roman" w:hAnsi="Times New Roman"/>
                <w:sz w:val="24"/>
                <w:szCs w:val="24"/>
              </w:rPr>
              <w:t>, систем инженерно-технического обеспечения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362B1">
              <w:rPr>
                <w:rFonts w:ascii="Times New Roman" w:eastAsia="Times New Roman" w:hAnsi="Times New Roman"/>
                <w:sz w:val="24"/>
                <w:szCs w:val="24"/>
              </w:rPr>
              <w:t>результаты экспертиз, обследований, лабораторных и 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ых испытаний выполненных работ;</w:t>
            </w:r>
          </w:p>
          <w:p w:rsidR="00DF0E71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EB3817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проведение контроля за качеством применяемых строительных материалов (изделий);</w:t>
            </w:r>
            <w:r w:rsidRPr="00413371">
              <w:rPr>
                <w:rFonts w:ascii="Times New Roman" w:eastAsia="Times New Roman" w:hAnsi="Times New Roman"/>
                <w:sz w:val="24"/>
                <w:szCs w:val="24"/>
              </w:rPr>
              <w:c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 з</w:t>
            </w:r>
            <w:r w:rsidRPr="00413371">
              <w:rPr>
                <w:rFonts w:ascii="Times New Roman" w:eastAsia="Times New Roman" w:hAnsi="Times New Roman"/>
                <w:sz w:val="24"/>
                <w:szCs w:val="24"/>
              </w:rPr>
              <w:t>аверенные копии разрешительных и иных документов, подтверждающих наличие у организации, разрешений и прав, необходимых в соответствии с действующим законодательством РФ для проведения соответствующих испытаний</w:t>
            </w:r>
          </w:p>
          <w:p w:rsidR="00DF0E71" w:rsidRDefault="00DF0E71" w:rsidP="00DF0E71">
            <w:pPr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EB3817">
              <w:rPr>
                <w:rFonts w:ascii="Times New Roman" w:eastAsia="Times New Roman" w:hAnsi="Times New Roman"/>
                <w:sz w:val="24"/>
                <w:szCs w:val="24"/>
              </w:rPr>
              <w:t>иные документы, отражающие фактическое исполнение проектных решений.</w:t>
            </w:r>
          </w:p>
          <w:p w:rsidR="00DF0E71" w:rsidRDefault="00DF0E71" w:rsidP="00DF0E71">
            <w:pPr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</w:p>
        </w:tc>
      </w:tr>
      <w:tr w:rsidR="00083187" w:rsidTr="00F3534D">
        <w:trPr>
          <w:trHeight w:val="72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3187" w:rsidRDefault="00083187" w:rsidP="0008318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E73A2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Передача  документации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3187" w:rsidRDefault="00083187" w:rsidP="00083187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B63">
              <w:rPr>
                <w:rFonts w:ascii="Times New Roman" w:eastAsia="Times New Roman" w:hAnsi="Times New Roman"/>
                <w:sz w:val="24"/>
                <w:szCs w:val="24"/>
              </w:rPr>
              <w:t xml:space="preserve">Заказчик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передает Подрядчику утвержденную проектную документацию в течении трех</w:t>
            </w:r>
            <w:r w:rsidRPr="00FC7B63">
              <w:rPr>
                <w:rFonts w:ascii="Times New Roman" w:eastAsia="Times New Roman" w:hAnsi="Times New Roman"/>
                <w:sz w:val="24"/>
                <w:szCs w:val="24"/>
              </w:rPr>
              <w:t xml:space="preserve"> рабочих дней с момента подписания настоящего договора по акту приема-передачи.</w:t>
            </w:r>
          </w:p>
          <w:p w:rsidR="00083187" w:rsidRDefault="00083187" w:rsidP="00083187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окончанию работ Подрядчик в течение трех рабочих дней по акту приема-передачи:</w:t>
            </w:r>
          </w:p>
          <w:p w:rsidR="00083187" w:rsidRDefault="00083187" w:rsidP="00083187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возвращает Заказчику проектную документацию;</w:t>
            </w:r>
          </w:p>
          <w:p w:rsidR="00083187" w:rsidRDefault="00083187" w:rsidP="00083187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FC7B63">
              <w:rPr>
                <w:rFonts w:ascii="Times New Roman" w:eastAsia="Times New Roman" w:hAnsi="Times New Roman"/>
                <w:sz w:val="24"/>
                <w:szCs w:val="24"/>
              </w:rPr>
              <w:t xml:space="preserve">передает Заказчику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исполнительную документацию.</w:t>
            </w:r>
          </w:p>
          <w:p w:rsidR="00083187" w:rsidRDefault="00083187" w:rsidP="00083187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0E71" w:rsidTr="00F3534D">
        <w:trPr>
          <w:trHeight w:val="7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Сроки и этапы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E71" w:rsidRDefault="00104087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DF0E71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выполнения работ:</w:t>
            </w:r>
          </w:p>
          <w:p w:rsidR="00DF0E71" w:rsidRDefault="009C7720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</w:t>
            </w:r>
            <w:r w:rsidR="000C0055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0034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C005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B0034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г. по </w:t>
            </w:r>
            <w:r w:rsidR="00E90611" w:rsidRPr="0028625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  <w:r w:rsidR="00B0034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F0E71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B0034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F0E71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DF0E71" w:rsidRPr="00680200" w:rsidRDefault="00DF0E71" w:rsidP="00DF0E71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0E71" w:rsidTr="00F3534D">
        <w:trPr>
          <w:trHeight w:val="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Дополнительные условия и требования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Pr="00680200" w:rsidRDefault="00DF0E71" w:rsidP="00DF0E71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8020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Выполнение работ в условиях действующего предприятия.</w:t>
            </w:r>
          </w:p>
          <w:p w:rsidR="00DF0E71" w:rsidRPr="00104087" w:rsidRDefault="00DF0E71" w:rsidP="00104087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left="360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</w:p>
        </w:tc>
      </w:tr>
      <w:tr w:rsidR="00DF0E71" w:rsidTr="009E2204">
        <w:trPr>
          <w:trHeight w:val="7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25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Требования к локализации оборудования (производства РФ)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Pr="00B23B56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и материалы производства РФ</w:t>
            </w:r>
          </w:p>
        </w:tc>
      </w:tr>
      <w:tr w:rsidR="00DF0E71" w:rsidTr="009E2204">
        <w:trPr>
          <w:trHeight w:val="7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46F">
              <w:rPr>
                <w:rFonts w:ascii="Times New Roman" w:hAnsi="Times New Roman"/>
                <w:sz w:val="24"/>
                <w:szCs w:val="24"/>
              </w:rPr>
              <w:t xml:space="preserve">Заказчик вправе проверять ход и качество работы, выполняемой Подрядчиком, не вмешиваясь в его деятельность. В случае нарушения технологии работ, приводящих к ухудшению качества, несоответствия обязательным требованиям проекта и нормативных документов, Заказчик </w:t>
            </w:r>
            <w:r w:rsidRPr="00A3146F">
              <w:rPr>
                <w:rFonts w:ascii="Times New Roman" w:hAnsi="Times New Roman"/>
                <w:sz w:val="24"/>
                <w:szCs w:val="24"/>
              </w:rPr>
              <w:lastRenderedPageBreak/>
              <w:t>имеет право приостановить работы до срока устранения замечаний.</w:t>
            </w:r>
          </w:p>
          <w:p w:rsidR="00DF0E71" w:rsidRPr="00A3146F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46F">
              <w:rPr>
                <w:rFonts w:ascii="Times New Roman" w:hAnsi="Times New Roman"/>
                <w:sz w:val="24"/>
                <w:szCs w:val="24"/>
              </w:rPr>
              <w:t>Прием в эксплуатацию завершенного строительством объекта ведется специально сформированной приемочной комиссией.</w:t>
            </w:r>
          </w:p>
          <w:p w:rsidR="00DF0E71" w:rsidRPr="00A3146F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46F">
              <w:rPr>
                <w:rFonts w:ascii="Times New Roman" w:hAnsi="Times New Roman"/>
                <w:sz w:val="24"/>
                <w:szCs w:val="24"/>
              </w:rPr>
              <w:t xml:space="preserve">После завершения монтажных работ проводятся приемосдаточные испытания, в ходе которых представитель Заказчика подтверждает или не подтверждает работоспособность системы в рамках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оговоренных в проектном решении </w:t>
            </w:r>
            <w:r w:rsidRPr="00A3146F">
              <w:rPr>
                <w:rFonts w:ascii="Times New Roman" w:hAnsi="Times New Roman"/>
                <w:sz w:val="24"/>
                <w:szCs w:val="24"/>
              </w:rPr>
              <w:t>функциональных особенностей.</w:t>
            </w:r>
            <w:r w:rsidRPr="00A3146F">
              <w:rPr>
                <w:rFonts w:ascii="Times New Roman" w:hAnsi="Times New Roman"/>
                <w:sz w:val="24"/>
                <w:szCs w:val="24"/>
              </w:rPr>
              <w:br/>
              <w:t>В случае невыполнения указанных выше условий параметры системы должны быть приведены в соответствие.</w:t>
            </w:r>
          </w:p>
          <w:p w:rsidR="00DF0E71" w:rsidRPr="00A3146F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46F">
              <w:rPr>
                <w:rFonts w:ascii="Times New Roman" w:hAnsi="Times New Roman"/>
                <w:sz w:val="24"/>
                <w:szCs w:val="24"/>
              </w:rPr>
              <w:t>Заказчик, получивший сообщение Подрядчика о готовности к сдаче результата выполненных работ, обязан в течение 3 рабочих дней приступить к их приемке. Приемка осуществляется путем подписания уполномоченными лицами двустороннего акта сдачи-приемки выполненных работ.</w:t>
            </w:r>
          </w:p>
          <w:p w:rsidR="00DF0E71" w:rsidRPr="00A3146F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46F">
              <w:rPr>
                <w:rFonts w:ascii="Times New Roman" w:hAnsi="Times New Roman"/>
                <w:sz w:val="24"/>
                <w:szCs w:val="24"/>
              </w:rPr>
              <w:t xml:space="preserve">В случае выявления несоответствия результатов выполненных работ условиям настоящего Договора, Заказчик незамедлительно уведомляет об этом Подрядчика и, в его присутствии, составляет акт выявленных недостатков, с указанием сроков их исправлений. </w:t>
            </w:r>
          </w:p>
          <w:p w:rsidR="00DF0E71" w:rsidRPr="00A3146F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46F">
              <w:rPr>
                <w:rFonts w:ascii="Times New Roman" w:hAnsi="Times New Roman"/>
                <w:sz w:val="24"/>
                <w:szCs w:val="24"/>
              </w:rPr>
              <w:t>Датой окончательного выполнения работ по Договору подряда считается дата подписания Сторонами акта сдачи-приемки выполненных работ или акта устранения недостатков.</w:t>
            </w:r>
          </w:p>
          <w:p w:rsidR="00DF0E71" w:rsidRDefault="00DF0E71" w:rsidP="00DF0E71">
            <w:pPr>
              <w:pStyle w:val="a7"/>
              <w:ind w:firstLine="340"/>
              <w:jc w:val="both"/>
              <w:rPr>
                <w:sz w:val="24"/>
                <w:szCs w:val="24"/>
              </w:rPr>
            </w:pPr>
            <w:r w:rsidRPr="00A3146F">
              <w:rPr>
                <w:sz w:val="24"/>
                <w:szCs w:val="24"/>
              </w:rPr>
              <w:t xml:space="preserve">Подрядчик предоставляет Заказчику к приёмке акты на демонтированное оборудование, исполнительную документацию, акты выполненных работ КС-2 и справки КС-3 до 25 числа отчётного месяца, в случае предоставления актов КС-2 и справки КС-3 после 25 числа отчётного месяца, приемка выполненных объемов работ переносится на следующий месяц. </w:t>
            </w:r>
          </w:p>
          <w:p w:rsidR="00DF0E71" w:rsidRPr="00A3146F" w:rsidRDefault="00DF0E71" w:rsidP="00DF0E71">
            <w:pPr>
              <w:pStyle w:val="a7"/>
              <w:ind w:firstLine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нарушения сроков исполнения обязательств в части предоставления исполнительной, сдаточной документации, либо не предоставление данной документации, Заказчик вправе удержать до 15% от стоимости Договора. </w:t>
            </w:r>
          </w:p>
          <w:p w:rsidR="00DF0E71" w:rsidRPr="00A3146F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0E71" w:rsidTr="009E2204">
        <w:trPr>
          <w:trHeight w:val="7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Ответственный исполнитель Заказчика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инженер Читинской ТЭЦ-1 </w:t>
            </w:r>
            <w:proofErr w:type="spellStart"/>
            <w:r w:rsidR="00B00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Гантимуров</w:t>
            </w:r>
            <w:proofErr w:type="spellEnd"/>
            <w:r w:rsidR="00B00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Максим Сергеевич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тел. 8 (3022) 387-5-55;</w:t>
            </w:r>
          </w:p>
          <w:p w:rsidR="00DF0E71" w:rsidRPr="00B23B56" w:rsidRDefault="00DF0E71" w:rsidP="00B00342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турбинного цеха Читинской ТЭЦ-1 </w:t>
            </w:r>
            <w:r w:rsidR="00B00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Кошелев Александр Леонидович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тел. 8 (3022) 387-2-80;</w:t>
            </w:r>
          </w:p>
        </w:tc>
      </w:tr>
      <w:tr w:rsidR="00DF0E71" w:rsidTr="009E2204">
        <w:trPr>
          <w:trHeight w:val="7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E71" w:rsidRDefault="00DF0E71" w:rsidP="00DF0E71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Максимальная стоимость работ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E71" w:rsidRDefault="00286257" w:rsidP="00DF0E7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2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490,21 </w:t>
            </w:r>
            <w:r w:rsidR="00DF0E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 без НДС</w:t>
            </w:r>
          </w:p>
        </w:tc>
      </w:tr>
    </w:tbl>
    <w:p w:rsidR="00154A82" w:rsidRDefault="00154A82" w:rsidP="00154A82">
      <w:pPr>
        <w:spacing w:after="0"/>
        <w:jc w:val="right"/>
        <w:rPr>
          <w:rFonts w:ascii="Times New Roman" w:hAnsi="Times New Roman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6771"/>
        <w:gridCol w:w="2126"/>
      </w:tblGrid>
      <w:tr w:rsidR="00154A82" w:rsidRPr="00A74682" w:rsidTr="009E26EB">
        <w:tc>
          <w:tcPr>
            <w:tcW w:w="6771" w:type="dxa"/>
          </w:tcPr>
          <w:p w:rsidR="00154A82" w:rsidRPr="00A74682" w:rsidRDefault="00154A82" w:rsidP="009E26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54A82" w:rsidRPr="00A74682" w:rsidRDefault="00154A82" w:rsidP="009E26EB">
            <w:pPr>
              <w:spacing w:after="0"/>
              <w:rPr>
                <w:rFonts w:ascii="Times New Roman" w:hAnsi="Times New Roman"/>
              </w:rPr>
            </w:pPr>
          </w:p>
        </w:tc>
      </w:tr>
      <w:tr w:rsidR="00154A82" w:rsidRPr="00A74682" w:rsidTr="009E26EB">
        <w:tc>
          <w:tcPr>
            <w:tcW w:w="6771" w:type="dxa"/>
          </w:tcPr>
          <w:p w:rsidR="00154A82" w:rsidRPr="00A74682" w:rsidRDefault="00154A82" w:rsidP="009E26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54A82" w:rsidRPr="00A74682" w:rsidRDefault="00154A82" w:rsidP="009E26EB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242959" w:rsidRDefault="00242959"/>
    <w:sectPr w:rsidR="00242959" w:rsidSect="00152672">
      <w:footerReference w:type="default" r:id="rId9"/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50" w:rsidRDefault="00495650" w:rsidP="0003607F">
      <w:pPr>
        <w:spacing w:after="0" w:line="240" w:lineRule="auto"/>
      </w:pPr>
      <w:r>
        <w:separator/>
      </w:r>
    </w:p>
  </w:endnote>
  <w:endnote w:type="continuationSeparator" w:id="0">
    <w:p w:rsidR="00495650" w:rsidRDefault="00495650" w:rsidP="0003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497598"/>
      <w:docPartObj>
        <w:docPartGallery w:val="Page Numbers (Bottom of Page)"/>
        <w:docPartUnique/>
      </w:docPartObj>
    </w:sdtPr>
    <w:sdtEndPr/>
    <w:sdtContent>
      <w:p w:rsidR="0003607F" w:rsidRDefault="0003607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055">
          <w:rPr>
            <w:noProof/>
          </w:rPr>
          <w:t>4</w:t>
        </w:r>
        <w:r>
          <w:fldChar w:fldCharType="end"/>
        </w:r>
      </w:p>
    </w:sdtContent>
  </w:sdt>
  <w:p w:rsidR="0003607F" w:rsidRDefault="0003607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50" w:rsidRDefault="00495650" w:rsidP="0003607F">
      <w:pPr>
        <w:spacing w:after="0" w:line="240" w:lineRule="auto"/>
      </w:pPr>
      <w:r>
        <w:separator/>
      </w:r>
    </w:p>
  </w:footnote>
  <w:footnote w:type="continuationSeparator" w:id="0">
    <w:p w:rsidR="00495650" w:rsidRDefault="00495650" w:rsidP="00036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00E17"/>
    <w:multiLevelType w:val="hybridMultilevel"/>
    <w:tmpl w:val="61A2DA06"/>
    <w:lvl w:ilvl="0" w:tplc="2E92FEFA">
      <w:numFmt w:val="bullet"/>
      <w:lvlText w:val="-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48C03F68"/>
    <w:multiLevelType w:val="hybridMultilevel"/>
    <w:tmpl w:val="74F08574"/>
    <w:lvl w:ilvl="0" w:tplc="999A3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71C152BF"/>
    <w:multiLevelType w:val="hybridMultilevel"/>
    <w:tmpl w:val="639CAC8A"/>
    <w:lvl w:ilvl="0" w:tplc="2E92FEFA">
      <w:numFmt w:val="bullet"/>
      <w:lvlText w:val="-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3DC05BA"/>
    <w:multiLevelType w:val="hybridMultilevel"/>
    <w:tmpl w:val="B8ECCA56"/>
    <w:lvl w:ilvl="0" w:tplc="3E1AF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04E9A"/>
    <w:multiLevelType w:val="hybridMultilevel"/>
    <w:tmpl w:val="720CCD4C"/>
    <w:lvl w:ilvl="0" w:tplc="6B4E14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D3DF2"/>
    <w:multiLevelType w:val="hybridMultilevel"/>
    <w:tmpl w:val="6386A38E"/>
    <w:lvl w:ilvl="0" w:tplc="CAD833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95A29"/>
    <w:multiLevelType w:val="hybridMultilevel"/>
    <w:tmpl w:val="4AD089F0"/>
    <w:lvl w:ilvl="0" w:tplc="3E1AFD6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7FD446BB"/>
    <w:multiLevelType w:val="hybridMultilevel"/>
    <w:tmpl w:val="1406A874"/>
    <w:lvl w:ilvl="0" w:tplc="BB1223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82"/>
    <w:rsid w:val="0003396F"/>
    <w:rsid w:val="0003607F"/>
    <w:rsid w:val="00043F03"/>
    <w:rsid w:val="0005075A"/>
    <w:rsid w:val="00083187"/>
    <w:rsid w:val="000A04C3"/>
    <w:rsid w:val="000A3FD5"/>
    <w:rsid w:val="000C0055"/>
    <w:rsid w:val="000F19AE"/>
    <w:rsid w:val="00104087"/>
    <w:rsid w:val="00111FA7"/>
    <w:rsid w:val="00114B0C"/>
    <w:rsid w:val="00116461"/>
    <w:rsid w:val="00135F74"/>
    <w:rsid w:val="00152672"/>
    <w:rsid w:val="0015385D"/>
    <w:rsid w:val="00154A6B"/>
    <w:rsid w:val="00154A82"/>
    <w:rsid w:val="00167C88"/>
    <w:rsid w:val="001737A9"/>
    <w:rsid w:val="00195916"/>
    <w:rsid w:val="00196726"/>
    <w:rsid w:val="001A5FF3"/>
    <w:rsid w:val="001B57BC"/>
    <w:rsid w:val="001C25C3"/>
    <w:rsid w:val="001C6981"/>
    <w:rsid w:val="001D5B7A"/>
    <w:rsid w:val="001E3B58"/>
    <w:rsid w:val="00211BDF"/>
    <w:rsid w:val="00230EFD"/>
    <w:rsid w:val="00242959"/>
    <w:rsid w:val="002454D9"/>
    <w:rsid w:val="00252197"/>
    <w:rsid w:val="00286257"/>
    <w:rsid w:val="002A3A73"/>
    <w:rsid w:val="002E6B6C"/>
    <w:rsid w:val="002F20AE"/>
    <w:rsid w:val="00332B9C"/>
    <w:rsid w:val="00351AC8"/>
    <w:rsid w:val="00361374"/>
    <w:rsid w:val="00362016"/>
    <w:rsid w:val="00376EDE"/>
    <w:rsid w:val="00380C75"/>
    <w:rsid w:val="003A1EEB"/>
    <w:rsid w:val="003B7E38"/>
    <w:rsid w:val="00422423"/>
    <w:rsid w:val="004314CF"/>
    <w:rsid w:val="004338F2"/>
    <w:rsid w:val="00437258"/>
    <w:rsid w:val="00490629"/>
    <w:rsid w:val="00495650"/>
    <w:rsid w:val="004A5278"/>
    <w:rsid w:val="005247DE"/>
    <w:rsid w:val="00560C05"/>
    <w:rsid w:val="005833EC"/>
    <w:rsid w:val="00591379"/>
    <w:rsid w:val="005D47D3"/>
    <w:rsid w:val="005E23B2"/>
    <w:rsid w:val="005F3218"/>
    <w:rsid w:val="00614E8B"/>
    <w:rsid w:val="006170D0"/>
    <w:rsid w:val="00623348"/>
    <w:rsid w:val="00650C31"/>
    <w:rsid w:val="006633C2"/>
    <w:rsid w:val="006767D8"/>
    <w:rsid w:val="006C1EFC"/>
    <w:rsid w:val="0073395C"/>
    <w:rsid w:val="00746560"/>
    <w:rsid w:val="00754B8B"/>
    <w:rsid w:val="0076527F"/>
    <w:rsid w:val="00790912"/>
    <w:rsid w:val="007D5578"/>
    <w:rsid w:val="00826901"/>
    <w:rsid w:val="00833003"/>
    <w:rsid w:val="00854AF6"/>
    <w:rsid w:val="008712C4"/>
    <w:rsid w:val="00885817"/>
    <w:rsid w:val="008A0B7C"/>
    <w:rsid w:val="008B378A"/>
    <w:rsid w:val="008E6CD3"/>
    <w:rsid w:val="008F74C4"/>
    <w:rsid w:val="00910206"/>
    <w:rsid w:val="0094178B"/>
    <w:rsid w:val="00946CD3"/>
    <w:rsid w:val="00982496"/>
    <w:rsid w:val="00982773"/>
    <w:rsid w:val="009B1449"/>
    <w:rsid w:val="009B1D1A"/>
    <w:rsid w:val="009C7720"/>
    <w:rsid w:val="009D0EC0"/>
    <w:rsid w:val="009D7821"/>
    <w:rsid w:val="009E2204"/>
    <w:rsid w:val="009E26EB"/>
    <w:rsid w:val="00A125E1"/>
    <w:rsid w:val="00A20011"/>
    <w:rsid w:val="00A42B06"/>
    <w:rsid w:val="00A465A2"/>
    <w:rsid w:val="00A527C3"/>
    <w:rsid w:val="00A74682"/>
    <w:rsid w:val="00A920F5"/>
    <w:rsid w:val="00AA0A37"/>
    <w:rsid w:val="00AC683C"/>
    <w:rsid w:val="00AD09A8"/>
    <w:rsid w:val="00AE7D36"/>
    <w:rsid w:val="00B00342"/>
    <w:rsid w:val="00B10AAD"/>
    <w:rsid w:val="00B357B8"/>
    <w:rsid w:val="00B55819"/>
    <w:rsid w:val="00BB02AD"/>
    <w:rsid w:val="00BB6C08"/>
    <w:rsid w:val="00BD5695"/>
    <w:rsid w:val="00C10F25"/>
    <w:rsid w:val="00C22C96"/>
    <w:rsid w:val="00C40564"/>
    <w:rsid w:val="00C44532"/>
    <w:rsid w:val="00C45593"/>
    <w:rsid w:val="00C47B64"/>
    <w:rsid w:val="00C57D44"/>
    <w:rsid w:val="00C92487"/>
    <w:rsid w:val="00D57B79"/>
    <w:rsid w:val="00D60046"/>
    <w:rsid w:val="00D8093D"/>
    <w:rsid w:val="00D87291"/>
    <w:rsid w:val="00DD2523"/>
    <w:rsid w:val="00DE4739"/>
    <w:rsid w:val="00DF0E71"/>
    <w:rsid w:val="00E20281"/>
    <w:rsid w:val="00E46444"/>
    <w:rsid w:val="00E62722"/>
    <w:rsid w:val="00E6562C"/>
    <w:rsid w:val="00E6567E"/>
    <w:rsid w:val="00E75A04"/>
    <w:rsid w:val="00E90611"/>
    <w:rsid w:val="00E91A26"/>
    <w:rsid w:val="00ED25B9"/>
    <w:rsid w:val="00EE262A"/>
    <w:rsid w:val="00F01754"/>
    <w:rsid w:val="00F01E74"/>
    <w:rsid w:val="00F0413C"/>
    <w:rsid w:val="00F67DC3"/>
    <w:rsid w:val="00F806A1"/>
    <w:rsid w:val="00F83003"/>
    <w:rsid w:val="00FA776C"/>
    <w:rsid w:val="00FE3005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5722C"/>
  <w15:chartTrackingRefBased/>
  <w15:docId w15:val="{9D9C167F-E53E-4748-8BAC-9BF4664F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character" w:customStyle="1" w:styleId="a4">
    <w:name w:val="Абзац списка Знак"/>
    <w:link w:val="a3"/>
    <w:uiPriority w:val="99"/>
    <w:locked/>
    <w:rsid w:val="00B55819"/>
    <w:rPr>
      <w:rFonts w:cs="Calibri"/>
      <w:sz w:val="22"/>
      <w:szCs w:val="22"/>
      <w:lang w:eastAsia="ar-SA"/>
    </w:rPr>
  </w:style>
  <w:style w:type="paragraph" w:styleId="a7">
    <w:name w:val="Body Text"/>
    <w:basedOn w:val="a"/>
    <w:link w:val="a8"/>
    <w:uiPriority w:val="99"/>
    <w:rsid w:val="00A465A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A465A2"/>
    <w:rPr>
      <w:rFonts w:ascii="Times New Roman" w:eastAsia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03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3607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3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3607F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361374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1374"/>
    <w:rPr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4691448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D62E4-D6C5-4763-BCA5-27687612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7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</dc:creator>
  <cp:keywords/>
  <cp:lastModifiedBy>Потапова Анастасия Олеговна</cp:lastModifiedBy>
  <cp:revision>7</cp:revision>
  <cp:lastPrinted>2018-09-06T05:33:00Z</cp:lastPrinted>
  <dcterms:created xsi:type="dcterms:W3CDTF">2025-09-30T09:14:00Z</dcterms:created>
  <dcterms:modified xsi:type="dcterms:W3CDTF">2025-10-14T01:50:00Z</dcterms:modified>
</cp:coreProperties>
</file>